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charts/colors1.xml" ContentType="application/vnd.ms-office.chartcolorstyl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charts/style1.xml" ContentType="application/vnd.ms-office.chartstyle+xml"/>
  <Override PartName="/customXml/itemProps1.xml" ContentType="application/vnd.openxmlformats-officedocument.customXmlProperties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360"/>
        <w:jc w:val="center"/>
        <w:contextualSpacing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drawing>
          <wp:inline distL="0" distT="0" distB="0" distR="0">
            <wp:extent cx="700428" cy="723050"/>
            <wp:effectExtent l="0" t="0" r="0" b="0"/>
            <wp:docPr id="1026" name="image1.jpg" descr="Bawaslu Maluku - Bersama Rakyat Awasi Pemilu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00428" cy="72305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 w:lineRule="auto" w:line="360"/>
        <w:jc w:val="center"/>
        <w:contextualSpacing/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PEMETAAN KERAWANAN PEMILIHAN 2024</w:t>
      </w:r>
    </w:p>
    <w:p>
      <w:pPr>
        <w:pStyle w:val="style0"/>
        <w:spacing w:after="0" w:lineRule="auto" w:line="360"/>
        <w:jc w:val="center"/>
        <w:contextualSpacing/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KOTA BUKITTINGGI</w:t>
      </w:r>
    </w:p>
    <w:p>
      <w:pPr>
        <w:pStyle w:val="style0"/>
        <w:spacing w:after="0" w:lineRule="auto" w:line="360"/>
        <w:jc w:val="center"/>
        <w:contextualSpacing/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 xml:space="preserve">PROVINSI </w:t>
      </w:r>
      <w:r>
        <w:rPr>
          <w:b/>
          <w:sz w:val="24"/>
          <w:szCs w:val="24"/>
          <w:lang w:val="fi-FI"/>
        </w:rPr>
        <w:t>SUMATERA BARAT</w:t>
      </w:r>
    </w:p>
    <w:p>
      <w:pPr>
        <w:spacing w:lineRule="auto" w:line="360"/>
        <w:jc w:val="left"/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en-US"/>
        </w:rPr>
        <w:t xml:space="preserve">Sesuai dengan instruksi Badan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>Pengawas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>Pemilihan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>Umum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>Republik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>Indonesia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>Nomor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>16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>Tahun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>2024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>tentang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>Pemetaan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>Kerawanan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 xml:space="preserve">Pemilihan.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>Bawaslu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>Kota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>Bukittinggi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>melakukan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>pemetaan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>kerawanan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>pemilihan menghadapi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>penyelenggaraan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>Pemilihan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>Gubernur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>dan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>Wakil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>Gubernur,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>Bupati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>dan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>Wakil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>Bupati,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>Walikota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>dan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>Wakil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>Walikota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>Tahun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ID"/>
        </w:rPr>
        <w:t xml:space="preserve">2024. </w:t>
      </w:r>
      <w:r>
        <w:rPr>
          <w:b/>
          <w:sz w:val="24"/>
          <w:szCs w:val="24"/>
          <w:lang w:val="en-US"/>
        </w:rPr>
        <w:t>Bawaslu Kota Bukittinggi melakukan inventarisasi data hasil pengawasan pada Pemilu Tahun 2024 sebagaimana t</w:t>
      </w:r>
      <w:r>
        <w:rPr>
          <w:b/>
          <w:bCs/>
          <w:sz w:val="24"/>
          <w:szCs w:val="24"/>
          <w:lang w:val="en-US"/>
        </w:rPr>
        <w:t xml:space="preserve">ertuang dalam </w:t>
      </w:r>
      <w:r>
        <w:rPr>
          <w:b/>
          <w:sz w:val="24"/>
          <w:szCs w:val="24"/>
          <w:lang w:val="en-US"/>
        </w:rPr>
        <w:t>Indeks Kerawanan Pemilu (IKP) Tahun 2024 dan mengumpulkan data hasil pengawasan pemetaan kerawanan.</w:t>
        <w:cr/>
        <w:t>Bawaslu Kota Bukittinggi meluncurkan Pemetaan Kerawanan Pemilihan guna mengedepankan upaya pencegahan. Dengan adanya pemetaan Kerawanan ini diharapkan akan dapat mendeteksi kerawanan secara dini dan akan melahirkan langkah-langkah strategis untuk mengantisipasi atau mencegah agar pelanggaran-pelanggaran yang terjadi pada saat tahapan Pemilu atau Pemilihan sebelumnya dapat diantisipasi paling tidak diminimalisir.</w:t>
      </w:r>
    </w:p>
    <w:p>
      <w:pPr>
        <w:spacing w:lineRule="auto" w:line="360"/>
        <w:jc w:val="both"/>
        <w:rPr>
          <w:b/>
          <w:sz w:val="24"/>
          <w:szCs w:val="24"/>
          <w:lang w:val="fi-FI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ID"/>
        </w:rPr>
        <w:t xml:space="preserve">Setelah dilakukan analisis terhadap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ID"/>
        </w:rPr>
        <w:t>Kerawanan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ID"/>
        </w:rPr>
        <w:t xml:space="preserve"> Pemilu dan Pemilihan sebelumnya, maka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ID"/>
        </w:rPr>
        <w:t>dapat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ID"/>
        </w:rPr>
        <w:t>dianalisis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ID"/>
        </w:rPr>
        <w:t>isu-isu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ID"/>
        </w:rPr>
        <w:t>dan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ID"/>
        </w:rPr>
        <w:t>tahapan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ID"/>
        </w:rPr>
        <w:t>yang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ID"/>
        </w:rPr>
        <w:t>rawan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ID"/>
        </w:rPr>
        <w:t>terjadinya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ID"/>
        </w:rPr>
        <w:t>pelanggaran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ID"/>
        </w:rPr>
        <w:t>pada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ID"/>
        </w:rPr>
        <w:t>Pemilihan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ID"/>
        </w:rPr>
        <w:t>Tahun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ID"/>
        </w:rPr>
        <w:t>2024, yaitu:</w:t>
      </w:r>
    </w:p>
    <w:p>
      <w:pPr>
        <w:pStyle w:val="style0"/>
        <w:spacing w:lineRule="auto" w:line="360"/>
        <w:ind w:left="426"/>
        <w:jc w:val="both"/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ID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ID"/>
        </w:rPr>
        <w:t>TAHAPAN PEMUTAKHIRAN DATA PEMILIH</w:t>
      </w:r>
    </w:p>
    <w:p>
      <w:pPr>
        <w:pStyle w:val="style0"/>
        <w:spacing w:lineRule="auto" w:line="360"/>
        <w:ind w:left="426"/>
        <w:jc w:val="both"/>
        <w:rPr>
          <w:b/>
          <w:sz w:val="24"/>
          <w:szCs w:val="24"/>
          <w:lang w:val="fi-FI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ID"/>
        </w:rPr>
        <w:t>1. A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danya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pemilih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ID"/>
        </w:rPr>
        <w:t xml:space="preserve">yang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memenuhi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syarat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tapi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tidak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terdaftar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dalam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pemilih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tetap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Pemilih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yang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memenuhi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syarat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tapi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tidak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terdaftar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dalam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pemilih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tetap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menjadi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salah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satu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titik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rawan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dalam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pelaksanaan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pemilu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dan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pemilihan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Kondisi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ini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terjadi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dikarenakan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beberapa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faktor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yang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menjadi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potensi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di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antaranya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ID"/>
        </w:rPr>
        <w:t xml:space="preserve">, </w:t>
      </w:r>
      <w:r>
        <w:rPr>
          <w:rFonts w:ascii="Calibri" w:cs="Calibri" w:eastAsia="Calibri" w:hAnsi="Calibri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ID"/>
        </w:rPr>
        <w:t>pertama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ID"/>
        </w:rPr>
        <w:t>, P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antarlih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tidak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melakukan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proses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coklit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dengan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teliti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sehingga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masyarakat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yang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sebenarnya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sudah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memiliki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hak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pilih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tidak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terdata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sebagai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pemilih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tetap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US" w:eastAsia="en-ID"/>
        </w:rPr>
        <w:t xml:space="preserve">,  </w:t>
      </w:r>
      <w:r>
        <w:rPr>
          <w:rFonts w:ascii="Calibri" w:cs="Calibri" w:eastAsia="Calibri" w:hAnsi="Calibri" w:hint="default"/>
          <w:b w:val="false"/>
          <w:bCs w:val="false"/>
          <w:i/>
          <w:iCs/>
          <w:color w:val="000000"/>
          <w:kern w:val="2"/>
          <w:sz w:val="24"/>
          <w:szCs w:val="24"/>
          <w:highlight w:val="none"/>
          <w:vertAlign w:val="baseline"/>
          <w:em w:val="none"/>
          <w:lang w:val="en-US" w:eastAsia="en-ID"/>
        </w:rPr>
        <w:t>kedua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US" w:eastAsia="en-ID"/>
        </w:rPr>
        <w:t>, k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esadaran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penduduk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dalam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melengkapi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administrasi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kependudukan.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sv-SE" w:eastAsia="en-ID"/>
        </w:rPr>
        <w:t>Kondisi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sv-SE" w:eastAsia="en-ID"/>
        </w:rPr>
        <w:t>ini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sv-SE" w:eastAsia="en-ID"/>
        </w:rPr>
        <w:t>dikategorikan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sv-SE" w:eastAsia="en-ID"/>
        </w:rPr>
        <w:t>rawan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sv-SE" w:eastAsia="en-ID"/>
        </w:rPr>
        <w:t>karena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sv-SE" w:eastAsia="en-ID"/>
        </w:rPr>
        <w:t>akan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sv-SE" w:eastAsia="en-ID"/>
        </w:rPr>
        <w:t>berdampak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sv-SE" w:eastAsia="en-ID"/>
        </w:rPr>
        <w:t>pada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sv-SE" w:eastAsia="en-ID"/>
        </w:rPr>
        <w:t>pemilih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sv-SE" w:eastAsia="en-ID"/>
        </w:rPr>
        <w:t>khusus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sv-SE" w:eastAsia="en-ID"/>
        </w:rPr>
        <w:t>atau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sv-SE" w:eastAsia="en-ID"/>
        </w:rPr>
        <w:t>pemilih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sv-SE" w:eastAsia="en-ID"/>
        </w:rPr>
        <w:t>yang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sv-SE" w:eastAsia="en-ID"/>
        </w:rPr>
        <w:t>dapat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sv-SE" w:eastAsia="en-ID"/>
        </w:rPr>
        <w:t>memilih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sv-SE" w:eastAsia="en-ID"/>
        </w:rPr>
        <w:t>pada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sv-SE" w:eastAsia="en-ID"/>
        </w:rPr>
        <w:t>saat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sv-SE" w:eastAsia="en-ID"/>
        </w:rPr>
        <w:t>pemungutan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sv-SE" w:eastAsia="en-ID"/>
        </w:rPr>
        <w:t>suara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sv-SE" w:eastAsia="en-ID"/>
        </w:rPr>
        <w:t>menggunakan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sv-SE" w:eastAsia="en-ID"/>
        </w:rPr>
        <w:t>KTP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sv-SE" w:eastAsia="en-ID"/>
        </w:rPr>
        <w:t>akan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sv-SE" w:eastAsia="en-ID"/>
        </w:rPr>
        <w:t>bertambah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sv-SE" w:eastAsia="en-ID"/>
        </w:rPr>
        <w:t>jumlahnya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ID"/>
        </w:rPr>
        <w:t xml:space="preserve"> dan berpotensi untuk tidak dapat memilih akibat kekurangan surat suara</w:t>
      </w:r>
    </w:p>
    <w:p>
      <w:pPr>
        <w:spacing w:lineRule="auto" w:line="360"/>
        <w:ind w:left="851" w:hanging="420"/>
        <w:jc w:val="both"/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ID"/>
        </w:rPr>
        <w:t xml:space="preserve">2.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Adanya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pemilih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tidak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memenuhi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syarat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tapi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terdaftar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dalam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pemilih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tetap.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ID"/>
        </w:rPr>
        <w:t>Misalnya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meninggal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dunia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,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pemilih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meninggal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dunia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tersebut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masih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terdaftar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dalam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pemilih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tetap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Kondisi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ini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memungkinkan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pihak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yang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tidak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bertanggung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jawab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menyalahgunakan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kesempatan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untuk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menggunakan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hak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pilih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dari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pemilih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yang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sudah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meninggal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dunia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tersebut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.</w:t>
      </w:r>
    </w:p>
    <w:p>
      <w:pPr>
        <w:spacing w:lineRule="auto" w:line="360"/>
        <w:ind w:left="851" w:hanging="420"/>
        <w:jc w:val="both"/>
        <w:rPr>
          <w:b/>
          <w:sz w:val="24"/>
          <w:szCs w:val="24"/>
          <w:lang w:val="fi-FI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ID"/>
        </w:rPr>
        <w:t xml:space="preserve">3.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Adanya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penduduk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potensial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memilih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tetapi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tidak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memiliki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KTP-Elektronik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.</w:t>
      </w:r>
    </w:p>
    <w:p>
      <w:pPr>
        <w:spacing w:lineRule="auto" w:line="360"/>
        <w:ind w:left="851"/>
        <w:jc w:val="both"/>
        <w:rPr>
          <w:b/>
          <w:sz w:val="24"/>
          <w:szCs w:val="24"/>
          <w:lang w:val="fi-FI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Data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di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lapangan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ketika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Bawaslu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Kota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Bukittinggi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melakukan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Sosialisasi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didapatkan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bahwa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masih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ada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pendud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uk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potensial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yang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rata-rata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adalah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siswa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sekolah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yang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sudah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memenuhi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kriteria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usia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minimal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pemilih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belum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melakukan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perekaman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KTP-Elektronik.</w:t>
      </w:r>
    </w:p>
    <w:p>
      <w:pPr>
        <w:pStyle w:val="style0"/>
        <w:spacing w:lineRule="auto" w:line="360"/>
        <w:ind w:left="851"/>
        <w:jc w:val="both"/>
        <w:rPr>
          <w:b/>
          <w:bCs w:val="false"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TAHAPAN PENCALONAN</w:t>
      </w:r>
    </w:p>
    <w:p>
      <w:pPr>
        <w:pStyle w:val="style0"/>
        <w:spacing w:lineRule="auto" w:line="360"/>
        <w:ind w:left="851"/>
        <w:jc w:val="both"/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</w:pPr>
      <w:r>
        <w:rPr>
          <w:b/>
          <w:bCs w:val="false"/>
          <w:sz w:val="24"/>
          <w:szCs w:val="24"/>
          <w:lang w:val="en-US"/>
        </w:rPr>
        <w:t xml:space="preserve">1. </w:t>
      </w:r>
      <w:r>
        <w:rPr>
          <w:b w:val="false"/>
          <w:bCs w:val="false"/>
          <w:sz w:val="24"/>
          <w:szCs w:val="24"/>
          <w:lang w:val="en-US"/>
        </w:rPr>
        <w:t xml:space="preserve">Netralitas ASN </w:t>
      </w:r>
    </w:p>
    <w:p>
      <w:pPr>
        <w:pStyle w:val="style0"/>
        <w:spacing w:lineRule="auto" w:line="360"/>
        <w:ind w:left="851"/>
        <w:jc w:val="both"/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ID"/>
        </w:rPr>
        <w:t xml:space="preserve">2.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Adanya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L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aporan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Pelanggaran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Administratif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Pemilu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.</w:t>
      </w:r>
    </w:p>
    <w:p>
      <w:pPr>
        <w:pStyle w:val="style0"/>
        <w:spacing w:lineRule="auto" w:line="360"/>
        <w:ind w:left="851"/>
        <w:jc w:val="both"/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ID"/>
        </w:rPr>
        <w:t>3. Sengketa Proses akibat dikeluarkannya keputusan KPU terkait penetapan Daftar Calin Sementara atau Daftar Calon Tetap</w:t>
      </w:r>
    </w:p>
    <w:p>
      <w:pPr>
        <w:pStyle w:val="style0"/>
        <w:spacing w:lineRule="auto" w:line="360"/>
        <w:ind w:left="851"/>
        <w:jc w:val="both"/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ID"/>
        </w:rPr>
        <w:t>TAHAPAN KAMPANYE</w:t>
      </w:r>
    </w:p>
    <w:p>
      <w:pPr>
        <w:pStyle w:val="style0"/>
        <w:spacing w:lineRule="auto" w:line="360"/>
        <w:ind w:left="851"/>
        <w:jc w:val="both"/>
        <w:rPr>
          <w:b/>
          <w:sz w:val="24"/>
          <w:szCs w:val="24"/>
          <w:lang w:val="fi-FI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ID"/>
        </w:rPr>
        <w:t xml:space="preserve">1.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Adanya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laporan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politik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uang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yang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dilakukan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peserta/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timses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.</w:t>
      </w:r>
    </w:p>
    <w:p>
      <w:pPr>
        <w:spacing w:lineRule="auto" w:line="360"/>
        <w:ind w:left="851"/>
        <w:jc w:val="both"/>
        <w:rPr>
          <w:b/>
          <w:sz w:val="24"/>
          <w:szCs w:val="24"/>
          <w:lang w:val="fi-FI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Laporan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disampaikan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oleh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masyarakat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atas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dugaan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Politik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Uang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yang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dilakukan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oleh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Calon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Legislatif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</w:p>
    <w:p>
      <w:pPr>
        <w:spacing w:lineRule="auto" w:line="360"/>
        <w:ind w:left="851" w:hanging="480"/>
        <w:jc w:val="both"/>
        <w:rPr>
          <w:b/>
          <w:sz w:val="24"/>
          <w:szCs w:val="24"/>
          <w:lang w:val="fi-FI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T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US" w:eastAsia="en-ID"/>
        </w:rPr>
        <w:t>AHAPAN PEMUNGUTAN DAN PENGHITUNGAN SUARA</w:t>
      </w:r>
    </w:p>
    <w:p>
      <w:pPr>
        <w:spacing w:lineRule="auto" w:line="360"/>
        <w:ind w:left="851"/>
        <w:jc w:val="both"/>
        <w:rPr>
          <w:b/>
          <w:sz w:val="24"/>
          <w:szCs w:val="24"/>
          <w:lang w:val="fi-FI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US" w:eastAsia="en-ID"/>
        </w:rPr>
        <w:t xml:space="preserve">1.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Saksi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melakukan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komplain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dan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melaporkan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pada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Bawaslu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Kota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Bukittinggi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terkait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tindakan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dari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KPPS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yang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melakukan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p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roses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renvoi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tidak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sesuai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dengan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ketentuan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dan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aturan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yang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berlaku,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proses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renvoi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dilakukan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tidak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pada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forum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resmi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rekapitulasi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penghitungan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suara.</w:t>
      </w:r>
    </w:p>
    <w:p>
      <w:pPr>
        <w:spacing w:lineRule="auto" w:line="360"/>
        <w:ind w:left="851"/>
        <w:jc w:val="both"/>
        <w:rPr>
          <w:b/>
          <w:sz w:val="24"/>
          <w:szCs w:val="24"/>
          <w:lang w:val="fi-FI"/>
        </w:rPr>
      </w:pPr>
    </w:p>
    <w:p>
      <w:pPr>
        <w:spacing w:lineRule="auto" w:line="360"/>
        <w:ind w:left="851" w:hanging="480"/>
        <w:jc w:val="both"/>
        <w:rPr>
          <w:b/>
          <w:sz w:val="24"/>
          <w:szCs w:val="24"/>
          <w:lang w:val="fi-FI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US" w:eastAsia="en-ID"/>
        </w:rPr>
        <w:t xml:space="preserve">2.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Reko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mendasi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Bawaslu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terkait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pelanggaran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US" w:eastAsia="en-ID"/>
        </w:rPr>
        <w:t xml:space="preserve">Kode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Etik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US" w:eastAsia="en-ID"/>
        </w:rPr>
        <w:t>tidak profesio</w:t>
      </w:r>
      <w:r>
        <w:rPr>
          <w:b/>
          <w:sz w:val="24"/>
          <w:szCs w:val="24"/>
          <w:lang w:val="en-US"/>
        </w:rPr>
        <w:t>nal</w:t>
      </w:r>
    </w:p>
    <w:p>
      <w:pPr>
        <w:spacing w:lineRule="auto" w:line="360"/>
        <w:ind w:left="851"/>
        <w:jc w:val="both"/>
        <w:rPr>
          <w:b/>
          <w:sz w:val="24"/>
          <w:szCs w:val="24"/>
          <w:lang w:val="fi-FI"/>
        </w:rPr>
      </w:pPr>
    </w:p>
    <w:p>
      <w:pPr>
        <w:spacing w:lineRule="auto" w:line="360"/>
        <w:ind w:left="851" w:hanging="480"/>
        <w:jc w:val="both"/>
        <w:rPr>
          <w:b/>
          <w:sz w:val="24"/>
          <w:szCs w:val="24"/>
          <w:lang w:val="fi-FI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US" w:eastAsia="en-ID"/>
        </w:rPr>
        <w:t xml:space="preserve">3.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Adanya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Pemungutan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Suara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Ulang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.</w:t>
      </w:r>
    </w:p>
    <w:p>
      <w:pPr>
        <w:spacing w:lineRule="auto" w:line="360"/>
        <w:ind w:left="851"/>
        <w:jc w:val="both"/>
        <w:rPr>
          <w:b/>
          <w:sz w:val="24"/>
          <w:szCs w:val="24"/>
          <w:lang w:val="fi-FI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Pemungutan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suara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ulang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d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lakukan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di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2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dua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TPS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pada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Kelurahan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Belakang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Balok,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Kecamatan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Aur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Birugo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Tigoa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Baleh.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TPS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yang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melakukan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Pemungutan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Suara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Ulang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adalah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TPS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1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dan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TPS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3.</w:t>
      </w:r>
    </w:p>
    <w:p>
      <w:pPr>
        <w:spacing w:lineRule="auto" w:line="360"/>
        <w:ind w:left="851" w:hanging="480"/>
        <w:jc w:val="both"/>
        <w:rPr>
          <w:b/>
          <w:sz w:val="24"/>
          <w:szCs w:val="24"/>
          <w:lang w:val="fi-FI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ID"/>
        </w:rPr>
        <w:t xml:space="preserve">4.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Adanya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peserta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pemilu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yang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tidak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melaporkan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dana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kampanye</w:t>
      </w:r>
    </w:p>
    <w:p>
      <w:pPr>
        <w:spacing w:lineRule="auto" w:line="360"/>
        <w:ind w:left="851"/>
        <w:jc w:val="both"/>
        <w:rPr>
          <w:b/>
          <w:sz w:val="24"/>
          <w:szCs w:val="24"/>
          <w:lang w:val="fi-FI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KPU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Kota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Bukittinggi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menetapkan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tiga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Partai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Politik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Peserta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Pemilu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menjadi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Tidak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Memenuhi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Syarat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dikarenakan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tidak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melaporkan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Dana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Kampanye.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Partai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Politik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Peserta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Pemilu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yang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tidak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melaporkan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dana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kampanye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dikarenakan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tidak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mengusung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Calon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Legislatif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pada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Pemilu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Serentah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Tahun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2024.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Partai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Politik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tersebut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adalah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PKN,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Partai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Garuda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dan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Partai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Hanura.</w:t>
      </w:r>
    </w:p>
    <w:p>
      <w:pPr>
        <w:spacing w:lineRule="auto" w:line="360"/>
        <w:ind w:left="720"/>
        <w:jc w:val="both"/>
        <w:rPr>
          <w:b/>
          <w:sz w:val="24"/>
          <w:szCs w:val="24"/>
          <w:lang w:val="fi-FI"/>
        </w:rPr>
      </w:pPr>
    </w:p>
    <w:p>
      <w:pPr>
        <w:spacing w:after="120" w:lineRule="auto" w:line="360"/>
        <w:ind w:left="426"/>
        <w:jc w:val="both"/>
        <w:rPr>
          <w:b/>
          <w:sz w:val="24"/>
          <w:szCs w:val="24"/>
          <w:lang w:val="fi-FI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Langkah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antisipasi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Mitigasi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dan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Pencegahan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)</w:t>
      </w:r>
    </w:p>
    <w:p>
      <w:pPr>
        <w:spacing w:after="120" w:lineRule="auto" w:line="360"/>
        <w:ind w:left="426"/>
        <w:jc w:val="both"/>
        <w:rPr>
          <w:b/>
          <w:sz w:val="24"/>
          <w:szCs w:val="24"/>
          <w:lang w:val="fi-FI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Pemetaan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yang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dideskripsikan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tersebut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merupakan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salah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satu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Upaya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dalam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mengurangi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potensi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pelanggaran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pada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pelaksanaan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Tahapan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Pemilihan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Tahun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2024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di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Kota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Bukittinggi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Dari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beberapa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indikator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yang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di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jadikan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oleh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Bawaslu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Kota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Bukittinggi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sebagai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potensi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kerawanan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ada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beberapa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indikator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yang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bisa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diantisipasi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pada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pelaksanaan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pelaksanaan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Pemilu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Tahun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2024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tapi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tidak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tertutup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kemungkinan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terjadi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lagi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pada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Pemilihan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Serentak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Tahun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2024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>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ID" w:eastAsia="en-ID"/>
        </w:rPr>
        <w:t xml:space="preserve"> </w:t>
      </w:r>
    </w:p>
    <w:p>
      <w:pPr>
        <w:spacing w:lineRule="auto" w:line="360"/>
        <w:ind w:left="426"/>
        <w:jc w:val="both"/>
        <w:rPr>
          <w:b/>
          <w:sz w:val="24"/>
          <w:szCs w:val="24"/>
          <w:lang w:val="fi-FI"/>
        </w:rPr>
      </w:pPr>
    </w:p>
    <w:p>
      <w:pPr>
        <w:spacing w:after="120" w:lineRule="auto" w:line="360"/>
        <w:ind w:left="851"/>
        <w:jc w:val="both"/>
        <w:rPr>
          <w:b/>
          <w:sz w:val="24"/>
          <w:szCs w:val="24"/>
          <w:lang w:val="fi-FI"/>
        </w:rPr>
      </w:pPr>
    </w:p>
    <w:p>
      <w:pPr>
        <w:spacing w:after="120" w:lineRule="auto" w:line="360"/>
        <w:ind w:left="1211"/>
        <w:jc w:val="both"/>
        <w:rPr>
          <w:b/>
          <w:sz w:val="24"/>
          <w:szCs w:val="24"/>
          <w:lang w:val="fi-FI"/>
        </w:rPr>
      </w:pPr>
    </w:p>
    <w:p>
      <w:pPr>
        <w:spacing w:after="120" w:lineRule="auto" w:line="360"/>
        <w:ind w:left="851"/>
        <w:jc w:val="both"/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fi-FI" w:eastAsia="en-ID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Dari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hasil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pemetaan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kerawaan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yang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telah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dilakukan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dapat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ditentukan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langkah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antisipasi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yang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harus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dilakukan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untuk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mencegah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terjadi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pelanggaran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pada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pemilihan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Tahun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2024,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yaitu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diantaranya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:</w:t>
      </w:r>
    </w:p>
    <w:p>
      <w:pPr>
        <w:spacing w:after="120" w:lineRule="auto" w:line="360"/>
        <w:ind w:left="851"/>
        <w:jc w:val="both"/>
        <w:rPr>
          <w:b/>
          <w:sz w:val="24"/>
          <w:szCs w:val="24"/>
          <w:lang w:val="fi-FI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US" w:eastAsia="en-ID"/>
        </w:rPr>
        <w:t xml:space="preserve">1.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fi-FI" w:eastAsia="en-ID"/>
        </w:rPr>
        <w:t>Menyampaikan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fi-FI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fi-FI" w:eastAsia="en-ID"/>
        </w:rPr>
        <w:t>imbauan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fi-FI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fi-FI" w:eastAsia="en-ID"/>
        </w:rPr>
        <w:t>pada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fi-FI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fi-FI" w:eastAsia="en-ID"/>
        </w:rPr>
        <w:t>KPU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fi-FI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fi-FI" w:eastAsia="en-ID"/>
        </w:rPr>
        <w:t>Kota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fi-FI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fi-FI" w:eastAsia="en-ID"/>
        </w:rPr>
        <w:t>Bukittinggi</w:t>
      </w:r>
    </w:p>
    <w:p>
      <w:pPr>
        <w:spacing w:after="120" w:lineRule="auto" w:line="360"/>
        <w:ind w:left="720"/>
        <w:jc w:val="both"/>
        <w:rPr>
          <w:b/>
          <w:sz w:val="24"/>
          <w:szCs w:val="24"/>
          <w:lang w:val="fi-FI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US" w:eastAsia="en-ID"/>
        </w:rPr>
        <w:t xml:space="preserve">2.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Melakukan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Koordinasi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dengan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Disdukcapil,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Cabang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Dinas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Pendidikan,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US" w:eastAsia="en-ID"/>
        </w:rPr>
        <w:t xml:space="preserve">3.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Kementrian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Agama,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TNI/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POLRI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dan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Lapas.</w:t>
      </w:r>
    </w:p>
    <w:p>
      <w:pPr>
        <w:spacing w:after="120" w:lineRule="auto" w:line="360"/>
        <w:ind w:left="720"/>
        <w:jc w:val="both"/>
        <w:rPr>
          <w:b/>
          <w:sz w:val="24"/>
          <w:szCs w:val="24"/>
          <w:lang w:val="fi-FI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US" w:eastAsia="en-ID"/>
        </w:rPr>
        <w:t>4.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Melakukan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audit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sampel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ke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rumah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-ruman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pemilih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yang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sudah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di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coklit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oleh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pantarlih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tapi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tidak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bisa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dilakukan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pengawasan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melekat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oleh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pengawas.</w:t>
      </w:r>
    </w:p>
    <w:p>
      <w:pPr>
        <w:spacing w:after="120" w:lineRule="auto" w:line="360"/>
        <w:ind w:left="720"/>
        <w:jc w:val="both"/>
        <w:rPr>
          <w:b/>
          <w:sz w:val="24"/>
          <w:szCs w:val="24"/>
          <w:lang w:val="fi-FI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US" w:eastAsia="en-ID"/>
        </w:rPr>
        <w:t xml:space="preserve">5.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fi-FI" w:eastAsia="en-ID"/>
        </w:rPr>
        <w:t>Melakukan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fi-FI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fi-FI" w:eastAsia="en-ID"/>
        </w:rPr>
        <w:t>sosialisasi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fi-FI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fi-FI" w:eastAsia="en-ID"/>
        </w:rPr>
        <w:t>pada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fi-FI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fi-FI" w:eastAsia="en-ID"/>
        </w:rPr>
        <w:t>Peserta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fi-FI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fi-FI" w:eastAsia="en-ID"/>
        </w:rPr>
        <w:t>Pemilu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US" w:eastAsia="en-ID"/>
        </w:rPr>
        <w:t xml:space="preserve"> dan semua pihak </w:t>
      </w:r>
    </w:p>
    <w:p>
      <w:pPr>
        <w:spacing w:after="120" w:lineRule="auto" w:line="360"/>
        <w:ind w:left="720"/>
        <w:jc w:val="both"/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US" w:eastAsia="en-ID"/>
        </w:rPr>
        <w:t xml:space="preserve">6.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fi-FI" w:eastAsia="en-ID"/>
        </w:rPr>
        <w:t>Menyampaikan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fi-FI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fi-FI" w:eastAsia="en-ID"/>
        </w:rPr>
        <w:t>Imbauan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fi-FI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fi-FI" w:eastAsia="en-ID"/>
        </w:rPr>
        <w:t>pada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fi-FI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fi-FI" w:eastAsia="en-ID"/>
        </w:rPr>
        <w:t>peserta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fi-FI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fi-FI" w:eastAsia="en-ID"/>
        </w:rPr>
        <w:t>Pemilu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US" w:eastAsia="en-ID"/>
        </w:rPr>
        <w:t xml:space="preserve"> agar mentaati aturan dalam proses tahapan Pemilihan</w:t>
      </w:r>
    </w:p>
    <w:p>
      <w:pPr>
        <w:spacing w:after="120" w:lineRule="auto" w:line="360"/>
        <w:ind w:left="720"/>
        <w:jc w:val="both"/>
        <w:rPr>
          <w:b/>
          <w:sz w:val="24"/>
          <w:szCs w:val="24"/>
          <w:lang w:val="fi-FI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en-US" w:eastAsia="en-ID"/>
        </w:rPr>
        <w:t xml:space="preserve">7.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Melakukan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deklarasi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sebagai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bentuk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komitmen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bersama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dengan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peserta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pemilu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bookmarkStart w:id="0" w:name="_GoBack"/>
      <w:bookmarkEnd w:id="0"/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dan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tokoh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em w:val="none"/>
          <w:lang w:val="sv-SE" w:eastAsia="en-ID"/>
        </w:rPr>
        <w:t>masyarakat.</w:t>
      </w:r>
    </w:p>
    <w:p>
      <w:pPr>
        <w:pStyle w:val="style0"/>
        <w:spacing w:after="0" w:lineRule="auto" w:line="360"/>
        <w:jc w:val="center"/>
        <w:contextualSpacing/>
        <w:rPr>
          <w:b/>
          <w:sz w:val="24"/>
          <w:szCs w:val="24"/>
          <w:lang w:val="fi-FI"/>
        </w:rPr>
      </w:pPr>
    </w:p>
    <w:p>
      <w:pPr>
        <w:pStyle w:val="style0"/>
        <w:spacing w:after="0" w:lineRule="auto" w:line="360"/>
        <w:jc w:val="left"/>
        <w:contextualSpacing/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en-US"/>
        </w:rPr>
        <w:t>Besar harapan kiranya Bawaslu bergandengan tangan dengan berbagai kelompok kepentingan seperti kepolisian, kejaksaan, pemerintah (pusat dan daerah), dan masyarakat. dalam mencegah atau meminimalisir kerawan Pemilihan tahun 2024 nantinya.</w:t>
      </w:r>
    </w:p>
    <w:p>
      <w:pPr>
        <w:pStyle w:val="style0"/>
        <w:spacing w:after="0" w:lineRule="auto" w:line="360"/>
        <w:jc w:val="center"/>
        <w:contextualSpacing/>
        <w:rPr>
          <w:b/>
          <w:sz w:val="24"/>
          <w:szCs w:val="24"/>
          <w:lang w:val="fi-FI"/>
        </w:rPr>
      </w:pPr>
    </w:p>
    <w:p>
      <w:pPr>
        <w:pStyle w:val="style0"/>
        <w:spacing w:after="0" w:lineRule="auto" w:line="360"/>
        <w:jc w:val="center"/>
        <w:contextualSpacing/>
        <w:rPr>
          <w:b/>
          <w:sz w:val="24"/>
          <w:szCs w:val="24"/>
          <w:lang w:val="fi-FI"/>
        </w:rPr>
      </w:pPr>
    </w:p>
    <w:p>
      <w:pPr>
        <w:pStyle w:val="style0"/>
        <w:spacing w:after="0" w:lineRule="auto" w:line="360"/>
        <w:jc w:val="center"/>
        <w:contextualSpacing/>
        <w:rPr>
          <w:b/>
          <w:sz w:val="24"/>
          <w:szCs w:val="24"/>
          <w:lang w:val="fi-FI"/>
        </w:rPr>
      </w:pPr>
    </w:p>
    <w:p>
      <w:pPr>
        <w:pStyle w:val="style0"/>
        <w:spacing w:after="120" w:lineRule="auto" w:line="360"/>
        <w:jc w:val="center"/>
        <w:contextualSpacing/>
        <w:rPr>
          <w:b/>
          <w:sz w:val="24"/>
          <w:szCs w:val="24"/>
          <w:lang w:val="sv-SE"/>
        </w:rPr>
      </w:pPr>
    </w:p>
    <w:p>
      <w:pPr>
        <w:pStyle w:val="style0"/>
        <w:spacing w:after="120" w:lineRule="auto" w:line="360"/>
        <w:jc w:val="both"/>
        <w:contextualSpacing/>
        <w:rPr>
          <w:b/>
          <w:sz w:val="24"/>
          <w:szCs w:val="24"/>
          <w:lang w:val="sv-SE"/>
        </w:rPr>
      </w:pPr>
    </w:p>
    <w:p>
      <w:pPr>
        <w:pStyle w:val="style0"/>
        <w:spacing w:after="120" w:lineRule="auto" w:line="360"/>
        <w:jc w:val="both"/>
        <w:contextualSpacing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noProof/>
          <w:sz w:val="24"/>
          <w:szCs w:val="24"/>
          <w:lang w:eastAsia="en-US"/>
        </w:rPr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en-US"/>
        </w:rPr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en-US"/>
        </w:rPr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en-US"/>
        </w:rPr>
        <w:drawing>
          <wp:inline distL="114300" distT="0" distB="0" distR="114300">
            <wp:extent cx="5486400" cy="5144494"/>
            <wp:effectExtent l="0" t="0" r="0" b="0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"/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en-US"/>
        </w:rPr>
      </w:r>
    </w:p>
    <w:p>
      <w:pPr>
        <w:pStyle w:val="style0"/>
        <w:spacing w:after="120" w:lineRule="auto" w:line="360"/>
        <w:jc w:val="both"/>
        <w:contextualSpacing/>
        <w:rPr>
          <w:b/>
          <w:sz w:val="24"/>
          <w:szCs w:val="24"/>
        </w:rPr>
      </w:pPr>
    </w:p>
    <w:p>
      <w:pPr>
        <w:numPr>
          <w:ilvl w:val="0"/>
          <w:numId w:val="0"/>
        </w:numPr>
        <w:pBdr>
          <w:left w:val="nil"/>
          <w:right w:val="nil"/>
          <w:top w:val="nil"/>
          <w:bottom w:val="nil"/>
          <w:between w:val="nil"/>
        </w:pBdr>
        <w:spacing w:after="120" w:lineRule="auto" w:line="360"/>
        <w:jc w:val="both"/>
        <w:rPr>
          <w:color w:val="000000"/>
          <w:lang w:val="sv-SE"/>
        </w:rPr>
      </w:pPr>
    </w:p>
    <w:sectPr>
      <w:footerReference w:type="even" r:id="rId4"/>
      <w:footerReference w:type="default" r:id="rId5"/>
      <w:pgSz w:w="11900" w:h="16840" w:orient="portrait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ind w:right="360"/>
      <w:rPr>
        <w:color w:val="000000"/>
      </w:rPr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9</w:t>
    </w:r>
    <w:r>
      <w:rPr>
        <w:color w:val="000000"/>
      </w:rPr>
      <w:fldChar w:fldCharType="end"/>
    </w:r>
  </w:p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ind w:right="360"/>
      <w:rPr>
        <w:color w:val="00000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B16E7B1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multilevel"/>
    <w:tmpl w:val="DE56399E"/>
    <w:lvl w:ilvl="0">
      <w:start w:val="1"/>
      <w:numFmt w:val="lowerLetter"/>
      <w:lvlText w:val="%1."/>
      <w:lvlJc w:val="left"/>
      <w:pPr>
        <w:ind w:left="360" w:hanging="360"/>
      </w:pPr>
      <w:rPr>
        <w:b w:val="false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000002"/>
    <w:multiLevelType w:val="multilevel"/>
    <w:tmpl w:val="F5E63386"/>
    <w:lvl w:ilvl="0">
      <w:start w:val="1"/>
      <w:numFmt w:val="lowerLetter"/>
      <w:lvlText w:val="%1."/>
      <w:lvlJc w:val="left"/>
      <w:pPr>
        <w:ind w:left="360" w:hanging="360"/>
      </w:pPr>
      <w:rPr>
        <w:b/>
        <w:bCs w:val="fals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0000003"/>
    <w:multiLevelType w:val="hybridMultilevel"/>
    <w:tmpl w:val="42D08B5A"/>
    <w:lvl w:ilvl="0" w:tplc="38090011">
      <w:start w:val="1"/>
      <w:numFmt w:val="decimal"/>
      <w:lvlText w:val="%1)"/>
      <w:lvlJc w:val="left"/>
      <w:pPr>
        <w:ind w:left="1571" w:hanging="360"/>
      </w:pPr>
    </w:lvl>
    <w:lvl w:ilvl="1" w:tplc="707259BA">
      <w:start w:val="1"/>
      <w:numFmt w:val="lowerLetter"/>
      <w:lvlText w:val="%2)"/>
      <w:lvlJc w:val="left"/>
      <w:pPr>
        <w:ind w:left="2516" w:hanging="585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0000004"/>
    <w:multiLevelType w:val="hybridMultilevel"/>
    <w:tmpl w:val="BC3A6DE4"/>
    <w:lvl w:ilvl="0" w:tplc="38090011">
      <w:start w:val="1"/>
      <w:numFmt w:val="decimal"/>
      <w:lvlText w:val="%1)"/>
      <w:lvlJc w:val="left"/>
      <w:pPr>
        <w:ind w:left="1211" w:hanging="360"/>
      </w:pPr>
    </w:lvl>
    <w:lvl w:ilvl="1" w:tplc="38090019">
      <w:start w:val="1"/>
      <w:numFmt w:val="lowerLetter"/>
      <w:lvlText w:val="%2."/>
      <w:lvlJc w:val="left"/>
      <w:pPr>
        <w:ind w:left="1931" w:hanging="360"/>
      </w:pPr>
    </w:lvl>
    <w:lvl w:ilvl="2" w:tplc="3809001B" w:tentative="1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0000005"/>
    <w:multiLevelType w:val="hybridMultilevel"/>
    <w:tmpl w:val="E270912C"/>
    <w:lvl w:ilvl="0" w:tplc="38090011">
      <w:start w:val="1"/>
      <w:numFmt w:val="decimal"/>
      <w:lvlText w:val="%1)"/>
      <w:lvlJc w:val="left"/>
      <w:pPr>
        <w:ind w:left="1211" w:hanging="360"/>
      </w:pPr>
    </w:lvl>
    <w:lvl w:ilvl="1" w:tplc="C670642C">
      <w:start w:val="1"/>
      <w:numFmt w:val="lowerLetter"/>
      <w:lvlText w:val="%2)"/>
      <w:lvlJc w:val="left"/>
      <w:pPr>
        <w:ind w:left="2156" w:hanging="585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0000006"/>
    <w:multiLevelType w:val="hybridMultilevel"/>
    <w:tmpl w:val="FB58F0AC"/>
    <w:lvl w:ilvl="0" w:tplc="A4D88BCE">
      <w:start w:val="1"/>
      <w:numFmt w:val="decimal"/>
      <w:lvlText w:val="%1)"/>
      <w:lvlJc w:val="left"/>
      <w:pPr>
        <w:ind w:left="238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108" w:hanging="360"/>
      </w:pPr>
    </w:lvl>
    <w:lvl w:ilvl="2" w:tplc="0409001B" w:tentative="1">
      <w:start w:val="1"/>
      <w:numFmt w:val="lowerRoman"/>
      <w:lvlText w:val="%3."/>
      <w:lvlJc w:val="right"/>
      <w:pPr>
        <w:ind w:left="3828" w:hanging="180"/>
      </w:pPr>
    </w:lvl>
    <w:lvl w:ilvl="3" w:tplc="0409000F" w:tentative="1">
      <w:start w:val="1"/>
      <w:numFmt w:val="decimal"/>
      <w:lvlText w:val="%4."/>
      <w:lvlJc w:val="left"/>
      <w:pPr>
        <w:ind w:left="4548" w:hanging="360"/>
      </w:pPr>
    </w:lvl>
    <w:lvl w:ilvl="4" w:tplc="04090019" w:tentative="1">
      <w:start w:val="1"/>
      <w:numFmt w:val="lowerLetter"/>
      <w:lvlText w:val="%5."/>
      <w:lvlJc w:val="left"/>
      <w:pPr>
        <w:ind w:left="5268" w:hanging="360"/>
      </w:pPr>
    </w:lvl>
    <w:lvl w:ilvl="5" w:tplc="0409001B" w:tentative="1">
      <w:start w:val="1"/>
      <w:numFmt w:val="lowerRoman"/>
      <w:lvlText w:val="%6."/>
      <w:lvlJc w:val="right"/>
      <w:pPr>
        <w:ind w:left="5988" w:hanging="180"/>
      </w:pPr>
    </w:lvl>
    <w:lvl w:ilvl="6" w:tplc="0409000F" w:tentative="1">
      <w:start w:val="1"/>
      <w:numFmt w:val="decimal"/>
      <w:lvlText w:val="%7."/>
      <w:lvlJc w:val="left"/>
      <w:pPr>
        <w:ind w:left="6708" w:hanging="360"/>
      </w:pPr>
    </w:lvl>
    <w:lvl w:ilvl="7" w:tplc="04090019" w:tentative="1">
      <w:start w:val="1"/>
      <w:numFmt w:val="lowerLetter"/>
      <w:lvlText w:val="%8."/>
      <w:lvlJc w:val="left"/>
      <w:pPr>
        <w:ind w:left="7428" w:hanging="360"/>
      </w:pPr>
    </w:lvl>
    <w:lvl w:ilvl="8" w:tplc="0409001B" w:tentative="1">
      <w:start w:val="1"/>
      <w:numFmt w:val="lowerRoman"/>
      <w:lvlText w:val="%9."/>
      <w:lvlJc w:val="right"/>
      <w:pPr>
        <w:ind w:left="8148" w:hanging="180"/>
      </w:pPr>
    </w:lvl>
  </w:abstractNum>
  <w:abstractNum w:abstractNumId="7">
    <w:nsid w:val="00000007"/>
    <w:multiLevelType w:val="hybridMultilevel"/>
    <w:tmpl w:val="861A138A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0000008"/>
    <w:multiLevelType w:val="multilevel"/>
    <w:tmpl w:val="1FF08DBE"/>
    <w:lvl w:ilvl="0">
      <w:start w:val="1"/>
      <w:numFmt w:val="lowerLetter"/>
      <w:lvlText w:val="%1."/>
      <w:lvlJc w:val="left"/>
      <w:pPr>
        <w:ind w:left="720" w:hanging="360"/>
      </w:pPr>
      <w:rPr>
        <w:b/>
        <w:bCs w:val="fal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1BDE8186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000000A"/>
    <w:multiLevelType w:val="hybridMultilevel"/>
    <w:tmpl w:val="479CAA2A"/>
    <w:lvl w:ilvl="0" w:tplc="38090011">
      <w:start w:val="1"/>
      <w:numFmt w:val="decimal"/>
      <w:lvlText w:val="%1)"/>
      <w:lvlJc w:val="left"/>
      <w:pPr>
        <w:ind w:left="1211" w:hanging="360"/>
      </w:pPr>
    </w:lvl>
    <w:lvl w:ilvl="1" w:tplc="38090019">
      <w:start w:val="1"/>
      <w:numFmt w:val="lowerLetter"/>
      <w:lvlText w:val="%2."/>
      <w:lvlJc w:val="left"/>
      <w:pPr>
        <w:ind w:left="1931" w:hanging="360"/>
      </w:pPr>
    </w:lvl>
    <w:lvl w:ilvl="2" w:tplc="3809001B" w:tentative="1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0000000B"/>
    <w:multiLevelType w:val="hybridMultilevel"/>
    <w:tmpl w:val="7F98703A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D4BE3932">
      <w:start w:val="1"/>
      <w:numFmt w:val="lowerLetter"/>
      <w:lvlText w:val="%2)"/>
      <w:lvlJc w:val="left"/>
      <w:pPr>
        <w:ind w:left="1665" w:hanging="585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F7A631C2"/>
    <w:lvl w:ilvl="0" w:tplc="D83C3726">
      <w:start w:val="4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0000000D"/>
    <w:multiLevelType w:val="hybridMultilevel"/>
    <w:tmpl w:val="12C0D1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000000E"/>
    <w:multiLevelType w:val="multilevel"/>
    <w:tmpl w:val="D730DC94"/>
    <w:lvl w:ilvl="0">
      <w:start w:val="1"/>
      <w:numFmt w:val="lowerLetter"/>
      <w:lvlText w:val="%1."/>
      <w:lvlJc w:val="left"/>
      <w:pPr>
        <w:ind w:left="360" w:hanging="360"/>
      </w:pPr>
      <w:rPr>
        <w:b w:val="false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)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000000F"/>
    <w:multiLevelType w:val="multilevel"/>
    <w:tmpl w:val="04C66992"/>
    <w:lvl w:ilvl="0">
      <w:start w:val="1"/>
      <w:numFmt w:val="lowerLetter"/>
      <w:lvlText w:val="%1."/>
      <w:lvlJc w:val="left"/>
      <w:pPr>
        <w:ind w:left="720" w:hanging="360"/>
      </w:pPr>
      <w:rPr>
        <w:b/>
        <w:bCs w:val="fals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2"/>
  </w:num>
  <w:num w:numId="9">
    <w:abstractNumId w:val="12"/>
  </w:num>
  <w:num w:numId="10">
    <w:abstractNumId w:val="11"/>
  </w:num>
  <w:num w:numId="11">
    <w:abstractNumId w:val="14"/>
  </w:num>
  <w:num w:numId="12">
    <w:abstractNumId w:val="15"/>
  </w:num>
  <w:num w:numId="13">
    <w:abstractNumId w:val="5"/>
  </w:num>
  <w:num w:numId="14">
    <w:abstractNumId w:val="3"/>
  </w:num>
  <w:num w:numId="15">
    <w:abstractNumId w:val="4"/>
  </w:num>
  <w:num w:numId="16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ID" w:bidi="ar-SA" w:eastAsia="en-ID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lang w:val="en-US"/>
    </w:rPr>
  </w:style>
  <w:style w:type="paragraph" w:styleId="style1">
    <w:name w:val="heading 1"/>
    <w:basedOn w:val="style0"/>
    <w:next w:val="style0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styleId="style38">
    <w:name w:val="footnote reference"/>
    <w:basedOn w:val="style65"/>
    <w:next w:val="style38"/>
    <w:uiPriority w:val="99"/>
    <w:rPr>
      <w:vertAlign w:val="superscript"/>
    </w:rPr>
  </w:style>
  <w:style w:type="paragraph" w:styleId="style32">
    <w:name w:val="footer"/>
    <w:basedOn w:val="style0"/>
    <w:next w:val="style32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Footer Char_24b5d817-142f-4e78-9dd2-34121c812cee"/>
    <w:basedOn w:val="style65"/>
    <w:next w:val="style4097"/>
    <w:link w:val="style32"/>
    <w:uiPriority w:val="99"/>
    <w:rPr>
      <w:kern w:val="0"/>
      <w:sz w:val="22"/>
      <w:szCs w:val="22"/>
      <w:lang w:val="en-US"/>
    </w:rPr>
  </w:style>
  <w:style w:type="character" w:styleId="style41">
    <w:name w:val="page number"/>
    <w:basedOn w:val="style65"/>
    <w:next w:val="style41"/>
    <w:uiPriority w:val="99"/>
  </w:style>
  <w:style w:type="paragraph" w:styleId="style179">
    <w:name w:val="List Paragraph"/>
    <w:basedOn w:val="style0"/>
    <w:next w:val="style179"/>
    <w:qFormat/>
    <w:uiPriority w:val="34"/>
    <w:pPr>
      <w:spacing w:after="0" w:lineRule="auto" w:line="240"/>
      <w:ind w:left="720"/>
      <w:contextualSpacing/>
    </w:pPr>
    <w:rPr>
      <w:kern w:val="2"/>
      <w:sz w:val="24"/>
      <w:szCs w:val="24"/>
      <w:lang w:val="en-ID"/>
    </w:rPr>
  </w:style>
  <w:style w:type="table" w:styleId="style154">
    <w:name w:val="Table Grid"/>
    <w:basedOn w:val="style105"/>
    <w:next w:val="style154"/>
    <w:uiPriority w:val="3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74">
    <w:name w:val="Subtitle"/>
    <w:basedOn w:val="style0"/>
    <w:next w:val="style0"/>
    <w:qFormat/>
    <w:uiPriority w:val="11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8">
    <w:basedOn w:val="style105"/>
    <w:next w:val="style4098"/>
    <w:pPr/>
    <w:rPr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099">
    <w:basedOn w:val="style105"/>
    <w:next w:val="style4099"/>
    <w:pPr/>
    <w:rPr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table" w:customStyle="1" w:styleId="style4100">
    <w:basedOn w:val="style105"/>
    <w:next w:val="style4100"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101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1">
    <w:name w:val="Balloon Text Char"/>
    <w:basedOn w:val="style65"/>
    <w:next w:val="style4101"/>
    <w:link w:val="style153"/>
    <w:uiPriority w:val="99"/>
    <w:rPr>
      <w:rFonts w:ascii="Tahoma" w:cs="Tahoma" w:hAnsi="Tahoma"/>
      <w:sz w:val="16"/>
      <w:szCs w:val="16"/>
      <w:lang w:val="en-US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chart" Target="charts/chart1.xml"/><Relationship Id="rId4" Type="http://schemas.openxmlformats.org/officeDocument/2006/relationships/footer" Target="footer1.xml"/><Relationship Id="rId10" Type="http://schemas.openxmlformats.org/officeDocument/2006/relationships/customXml" Target="../customXml/item1.xml"/><Relationship Id="rId9" Type="http://schemas.openxmlformats.org/officeDocument/2006/relationships/theme" Target="theme/theme1.xml"/><Relationship Id="rId5" Type="http://schemas.openxmlformats.org/officeDocument/2006/relationships/footer" Target="footer2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charts/_rels/chart1.xml.rels><?xml version="1.0" encoding="UTF-8"?>
<Relationships xmlns="http://schemas.openxmlformats.org/package/2006/relationships"><Relationship Id="rId1" Type="http://schemas.openxmlformats.org/officeDocument/2006/relationships/package" Target="../embeddings/Microsoft_Excel____1.xlsx"/><Relationship Id="rId2" Type="http://schemas.microsoft.com/office/2011/relationships/chartStyle" Target="style1.xml"/><Relationship Id="rId3" Type="http://schemas.microsoft.com/office/2011/relationships/chartColorStyle" Target="colors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i-FI" sz="1800" b="1">
                <a:effectLst/>
              </a:rPr>
              <a:t>PEMETAAN KERAWANAN PEMILIHAN 2024</a:t>
            </a:r>
            <a:endParaRPr lang="en-ID" sz="1800">
              <a:effectLst/>
            </a:endParaRP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i-FI" sz="1800" b="1">
                <a:effectLst/>
              </a:rPr>
              <a:t>KOTA BUKITTINGGI</a:t>
            </a:r>
            <a:endParaRPr lang="en-ID" sz="1800">
              <a:effectLst/>
            </a:endParaRP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i-FI" sz="1800" b="1">
                <a:effectLst/>
              </a:rPr>
              <a:t>PROVINSI SUMATERA BARAT</a:t>
            </a:r>
            <a:endParaRPr lang="en-ID" sz="1800">
              <a:effectLst/>
            </a:endParaRPr>
          </a:p>
        </c:rich>
      </c:tx>
      <c:layout>
        <c:manualLayout>
          <c:xMode val="edge"/>
          <c:yMode val="edge"/>
          <c:x val="0.14790518372703412"/>
          <c:y val="0.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Sheet1!$A$2:$A$10</c:f>
              <c:strCache>
                <c:ptCount val="9"/>
                <c:pt idx="0">
                  <c:v>Adanya pemilih memenuhi syarat tapi tidak terdaftar dalam pemilih tetap</c:v>
                </c:pt>
                <c:pt idx="1">
                  <c:v>Adanya pemilih tidak memenuhi syarat tapi terdaftar dalam pemilih tetap</c:v>
                </c:pt>
                <c:pt idx="2">
                  <c:v>Adanya penduduk potensial memilih tetapi tidak memiliki KTP-Elektronik</c:v>
                </c:pt>
                <c:pt idx="3">
                  <c:v>Adanya Laporan Pelanggaran Administratif Pemilu</c:v>
                </c:pt>
                <c:pt idx="4">
                  <c:v>Adanya laporan politik uang yang dilakukan peserta/ timses</c:v>
                </c:pt>
                <c:pt idx="5">
                  <c:v>Adanya komplain dari saksi saat pemungutan atau penghitungan suara</c:v>
                </c:pt>
                <c:pt idx="6">
                  <c:v>Rekomendasi Bawaslu terkait ketidak pelanggaran Etik yang dilakukan Jajaran KPU.</c:v>
                </c:pt>
                <c:pt idx="7">
                  <c:v>Adanya Pemungutan Suara Ulang</c:v>
                </c:pt>
                <c:pt idx="8">
                  <c:v>Adanya peserta pemilu yang tidak melaporkan dana kampanye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1.0</c:v>
                </c:pt>
                <c:pt idx="1">
                  <c:v>1.0</c:v>
                </c:pt>
                <c:pt idx="2">
                  <c:v>1.0</c:v>
                </c:pt>
                <c:pt idx="3">
                  <c:v>5.0</c:v>
                </c:pt>
                <c:pt idx="4">
                  <c:v>1.0</c:v>
                </c:pt>
                <c:pt idx="5">
                  <c:v>1.0</c:v>
                </c:pt>
                <c:pt idx="6">
                  <c:v>1.0</c:v>
                </c:pt>
                <c:pt idx="7">
                  <c:v>2.0</c:v>
                </c:pt>
                <c:pt idx="8">
                  <c:v>3.0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70875136"/>
        <c:axId val="174120960"/>
      </c:barChart>
      <c:catAx>
        <c:axId val="170875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4120960"/>
        <c:crosses val="autoZero"/>
        <c:auto val="1"/>
        <c:lblAlgn val="l"/>
        <c:lblOffset val="100"/>
        <c:noMultiLvlLbl val="0"/>
      </c:catAx>
      <c:valAx>
        <c:axId val="1741209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0875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bJkouoY8I56bPhCoMSZEAQZsNQ==">CgMxLjAaHwoBMBIaChgICVIUChJ0YWJsZS5lbnR0b2dtbmF1bHI4AHIhMTcwTGEydW1VSDFNTWV1Q240aVAtazFQWGd0bmlPbEZF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Words>727</Words>
  <Pages>10</Pages>
  <Characters>4839</Characters>
  <Application>WPS Office</Application>
  <DocSecurity>0</DocSecurity>
  <Paragraphs>56</Paragraphs>
  <ScaleCrop>false</ScaleCrop>
  <LinksUpToDate>false</LinksUpToDate>
  <CharactersWithSpaces>5537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2024-06-26T14:41:00Z</dcterms:created>
  <dc:creator>Microsoft Office User</dc:creator>
  <lastModifiedBy>SM-X516B</lastModifiedBy>
  <dcterms:modified xsi:type="dcterms:W3CDTF">2024-07-24T05:04:15Z</dcterms:modified>
  <revision>14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796623c502da4ca29c9ca50a8fbe846b</vt:lpwstr>
  </property>
</Properties>
</file>